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CCFD2F">
      <w:pPr>
        <w:pStyle w:val="6"/>
        <w:rPr>
          <w:sz w:val="44"/>
        </w:rPr>
      </w:pPr>
    </w:p>
    <w:tbl>
      <w:tblPr>
        <w:tblStyle w:val="3"/>
        <w:tblW w:w="913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3"/>
        <w:gridCol w:w="2574"/>
        <w:gridCol w:w="284"/>
        <w:gridCol w:w="2992"/>
        <w:gridCol w:w="1602"/>
      </w:tblGrid>
      <w:tr w14:paraId="707222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  <w:jc w:val="center"/>
        </w:trPr>
        <w:tc>
          <w:tcPr>
            <w:tcW w:w="913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059CFEC3">
            <w:pPr>
              <w:pStyle w:val="6"/>
              <w:rPr>
                <w:sz w:val="44"/>
              </w:rPr>
            </w:pPr>
          </w:p>
          <w:p w14:paraId="172122BB">
            <w:pPr>
              <w:pStyle w:val="6"/>
              <w:rPr>
                <w:sz w:val="44"/>
              </w:rPr>
            </w:pPr>
          </w:p>
          <w:p w14:paraId="5E779040">
            <w:pPr>
              <w:pStyle w:val="6"/>
              <w:rPr>
                <w:sz w:val="44"/>
              </w:rPr>
            </w:pPr>
          </w:p>
        </w:tc>
      </w:tr>
      <w:tr w14:paraId="51194F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3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01B0D331">
            <w:pPr>
              <w:pStyle w:val="9"/>
              <w:rPr>
                <w:color w:val="000000"/>
              </w:rPr>
            </w:pPr>
          </w:p>
          <w:p w14:paraId="248A00F5">
            <w:pPr>
              <w:pStyle w:val="9"/>
              <w:rPr>
                <w:rFonts w:hint="default" w:eastAsia="宋体"/>
                <w:b/>
                <w:color w:val="000000"/>
                <w:lang w:val="en-US" w:eastAsia="zh-CN"/>
              </w:rPr>
            </w:pPr>
            <w:r>
              <w:rPr>
                <w:rFonts w:hint="eastAsia"/>
                <w:b/>
                <w:color w:val="000000"/>
                <w:lang w:val="en-US" w:eastAsia="zh-CN"/>
              </w:rPr>
              <w:t>低空目标识别</w:t>
            </w:r>
          </w:p>
        </w:tc>
      </w:tr>
      <w:tr w14:paraId="5AAE81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77" w:hRule="atLeast"/>
          <w:jc w:val="center"/>
        </w:trPr>
        <w:tc>
          <w:tcPr>
            <w:tcW w:w="913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0A4546F2">
            <w:pPr>
              <w:adjustRightInd w:val="0"/>
              <w:snapToGrid w:val="0"/>
              <w:jc w:val="center"/>
              <w:rPr>
                <w:color w:val="000000"/>
                <w:sz w:val="44"/>
              </w:rPr>
            </w:pPr>
          </w:p>
          <w:p w14:paraId="1DCB8487">
            <w:pPr>
              <w:adjustRightInd w:val="0"/>
              <w:snapToGrid w:val="0"/>
              <w:jc w:val="center"/>
              <w:rPr>
                <w:rFonts w:hint="default" w:eastAsia="宋体"/>
                <w:color w:val="000000"/>
                <w:sz w:val="44"/>
                <w:lang w:val="en-US" w:eastAsia="zh-CN"/>
              </w:rPr>
            </w:pPr>
          </w:p>
        </w:tc>
      </w:tr>
      <w:tr w14:paraId="24245B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45" w:hRule="atLeast"/>
          <w:jc w:val="center"/>
        </w:trPr>
        <w:tc>
          <w:tcPr>
            <w:tcW w:w="913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C7A4621">
            <w:pPr>
              <w:pStyle w:val="8"/>
            </w:pPr>
          </w:p>
        </w:tc>
      </w:tr>
      <w:tr w14:paraId="35D21B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0" w:hRule="atLeast"/>
          <w:jc w:val="center"/>
        </w:trPr>
        <w:tc>
          <w:tcPr>
            <w:tcW w:w="168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7E1C76">
            <w:pPr>
              <w:adjustRightInd w:val="0"/>
              <w:snapToGrid w:val="0"/>
              <w:rPr>
                <w:rFonts w:hint="eastAsia" w:eastAsia="楷体_GB2312"/>
                <w:color w:val="000000"/>
                <w:sz w:val="52"/>
              </w:rPr>
            </w:pPr>
          </w:p>
        </w:tc>
        <w:tc>
          <w:tcPr>
            <w:tcW w:w="25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0400E5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distribute"/>
              <w:textAlignment w:val="auto"/>
            </w:pPr>
            <w:r>
              <w:rPr>
                <w:rFonts w:hint="eastAsia"/>
              </w:rPr>
              <w:t>姓  名：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DE0457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1960"/>
              <w:jc w:val="distribute"/>
              <w:textAlignment w:val="auto"/>
            </w:pPr>
            <w:r>
              <w:rPr>
                <w:rFonts w:hint="eastAsia"/>
              </w:rPr>
              <w:t>：</w:t>
            </w:r>
          </w:p>
        </w:tc>
        <w:tc>
          <w:tcPr>
            <w:tcW w:w="29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6EC135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distribute"/>
              <w:textAlignment w:val="auto"/>
              <w:rPr>
                <w:rFonts w:hint="eastAsia" w:eastAsia="宋体"/>
                <w:spacing w:val="20"/>
                <w:lang w:val="en-US" w:eastAsia="zh-CN"/>
              </w:rPr>
            </w:pPr>
            <w:r>
              <w:rPr>
                <w:rFonts w:hint="eastAsia"/>
                <w:spacing w:val="20"/>
                <w:lang w:val="en-US" w:eastAsia="zh-CN"/>
              </w:rPr>
              <w:t>刘学梅</w:t>
            </w:r>
          </w:p>
        </w:tc>
        <w:tc>
          <w:tcPr>
            <w:tcW w:w="160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BA3B0F">
            <w:pPr>
              <w:adjustRightInd w:val="0"/>
              <w:snapToGrid w:val="0"/>
              <w:rPr>
                <w:rFonts w:hint="eastAsia" w:eastAsia="楷体_GB2312"/>
                <w:color w:val="000000"/>
                <w:sz w:val="52"/>
              </w:rPr>
            </w:pPr>
          </w:p>
        </w:tc>
      </w:tr>
      <w:tr w14:paraId="6B5771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0" w:hRule="atLeast"/>
          <w:jc w:val="center"/>
        </w:trPr>
        <w:tc>
          <w:tcPr>
            <w:tcW w:w="1683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E0306B">
            <w:pPr>
              <w:widowControl/>
              <w:jc w:val="left"/>
              <w:rPr>
                <w:rFonts w:eastAsia="楷体_GB2312"/>
                <w:color w:val="000000"/>
                <w:sz w:val="52"/>
              </w:rPr>
            </w:pPr>
          </w:p>
        </w:tc>
        <w:tc>
          <w:tcPr>
            <w:tcW w:w="25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794D48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distribute"/>
              <w:textAlignment w:val="auto"/>
            </w:pPr>
            <w:r>
              <w:rPr>
                <w:rFonts w:hint="eastAsia"/>
              </w:rPr>
              <w:t>学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>号</w:t>
            </w:r>
            <w:r>
              <w:rPr>
                <w:rFonts w:hint="eastAsia"/>
              </w:rPr>
              <w:t>：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C437E9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1960"/>
              <w:jc w:val="distribute"/>
              <w:textAlignment w:val="auto"/>
            </w:pPr>
            <w:r>
              <w:rPr>
                <w:rFonts w:hint="eastAsia"/>
              </w:rPr>
              <w:t>：</w:t>
            </w:r>
          </w:p>
        </w:tc>
        <w:tc>
          <w:tcPr>
            <w:tcW w:w="29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08F73D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distribute"/>
              <w:textAlignment w:val="auto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1221001024</w:t>
            </w:r>
          </w:p>
        </w:tc>
        <w:tc>
          <w:tcPr>
            <w:tcW w:w="1602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1C5FA2">
            <w:pPr>
              <w:widowControl/>
              <w:jc w:val="distribute"/>
              <w:rPr>
                <w:rFonts w:eastAsia="楷体_GB2312"/>
                <w:color w:val="000000"/>
                <w:sz w:val="52"/>
              </w:rPr>
            </w:pPr>
          </w:p>
        </w:tc>
      </w:tr>
      <w:tr w14:paraId="1C367E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0" w:hRule="atLeast"/>
          <w:jc w:val="center"/>
        </w:trPr>
        <w:tc>
          <w:tcPr>
            <w:tcW w:w="1683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410F7D">
            <w:pPr>
              <w:widowControl/>
              <w:jc w:val="left"/>
              <w:rPr>
                <w:rFonts w:eastAsia="楷体_GB2312"/>
                <w:color w:val="000000"/>
                <w:sz w:val="52"/>
              </w:rPr>
            </w:pPr>
          </w:p>
        </w:tc>
        <w:tc>
          <w:tcPr>
            <w:tcW w:w="25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D41255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distribute"/>
              <w:textAlignment w:val="auto"/>
            </w:pPr>
            <w:r>
              <w:rPr>
                <w:rFonts w:hint="eastAsia"/>
              </w:rPr>
              <w:t>指导教师姓名：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19E3B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1960"/>
              <w:jc w:val="distribute"/>
              <w:textAlignment w:val="auto"/>
            </w:pPr>
            <w:r>
              <w:rPr>
                <w:rFonts w:hint="eastAsia"/>
              </w:rPr>
              <w:t>：</w:t>
            </w:r>
          </w:p>
        </w:tc>
        <w:tc>
          <w:tcPr>
            <w:tcW w:w="29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8C6B73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distribute"/>
              <w:textAlignment w:val="auto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刘铁</w:t>
            </w:r>
          </w:p>
        </w:tc>
        <w:tc>
          <w:tcPr>
            <w:tcW w:w="1602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CD60C2">
            <w:pPr>
              <w:widowControl/>
              <w:jc w:val="distribute"/>
              <w:rPr>
                <w:rFonts w:eastAsia="楷体_GB2312"/>
                <w:color w:val="000000"/>
                <w:sz w:val="52"/>
              </w:rPr>
            </w:pPr>
          </w:p>
        </w:tc>
      </w:tr>
      <w:tr w14:paraId="2372A2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0" w:hRule="atLeast"/>
          <w:jc w:val="center"/>
        </w:trPr>
        <w:tc>
          <w:tcPr>
            <w:tcW w:w="1683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701606">
            <w:pPr>
              <w:widowControl/>
              <w:jc w:val="left"/>
              <w:rPr>
                <w:rFonts w:eastAsia="楷体_GB2312"/>
                <w:color w:val="000000"/>
                <w:sz w:val="52"/>
              </w:rPr>
            </w:pPr>
          </w:p>
        </w:tc>
        <w:tc>
          <w:tcPr>
            <w:tcW w:w="25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55D26A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distribute"/>
              <w:textAlignment w:val="auto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班  级：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45C283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1960"/>
              <w:jc w:val="distribute"/>
              <w:textAlignment w:val="auto"/>
            </w:pPr>
            <w:r>
              <w:rPr>
                <w:rFonts w:hint="eastAsia"/>
              </w:rPr>
              <w:t>：</w:t>
            </w:r>
          </w:p>
        </w:tc>
        <w:tc>
          <w:tcPr>
            <w:tcW w:w="29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6DFCB6">
            <w:pPr>
              <w:pStyle w:val="1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distribute"/>
              <w:textAlignment w:val="auto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计算机科学与技术</w:t>
            </w:r>
          </w:p>
        </w:tc>
        <w:tc>
          <w:tcPr>
            <w:tcW w:w="1602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8FD2B">
            <w:pPr>
              <w:widowControl/>
              <w:jc w:val="distribute"/>
              <w:rPr>
                <w:rFonts w:eastAsia="楷体_GB2312"/>
                <w:color w:val="000000"/>
                <w:sz w:val="52"/>
              </w:rPr>
            </w:pPr>
          </w:p>
        </w:tc>
      </w:tr>
      <w:tr w14:paraId="72793A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0" w:hRule="atLeast"/>
          <w:jc w:val="center"/>
        </w:trPr>
        <w:tc>
          <w:tcPr>
            <w:tcW w:w="1683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F75B3F">
            <w:pPr>
              <w:widowControl/>
              <w:jc w:val="left"/>
              <w:rPr>
                <w:rFonts w:eastAsia="楷体_GB2312"/>
                <w:color w:val="000000"/>
                <w:sz w:val="52"/>
              </w:rPr>
            </w:pPr>
          </w:p>
        </w:tc>
        <w:tc>
          <w:tcPr>
            <w:tcW w:w="25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B6F3B1">
            <w:pPr>
              <w:pStyle w:val="10"/>
              <w:ind w:firstLine="0" w:firstLineChars="0"/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F31F0">
            <w:pPr>
              <w:pStyle w:val="10"/>
              <w:ind w:firstLine="1960"/>
            </w:pPr>
            <w:r>
              <w:rPr>
                <w:rFonts w:hint="eastAsia"/>
              </w:rPr>
              <w:t>：</w:t>
            </w:r>
          </w:p>
        </w:tc>
        <w:tc>
          <w:tcPr>
            <w:tcW w:w="29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11BF90">
            <w:pPr>
              <w:pStyle w:val="10"/>
              <w:ind w:firstLine="0" w:firstLineChars="0"/>
            </w:pPr>
          </w:p>
        </w:tc>
        <w:tc>
          <w:tcPr>
            <w:tcW w:w="1602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9F45D9">
            <w:pPr>
              <w:widowControl/>
              <w:jc w:val="distribute"/>
              <w:rPr>
                <w:rFonts w:eastAsia="楷体_GB2312"/>
                <w:color w:val="000000"/>
                <w:sz w:val="52"/>
              </w:rPr>
            </w:pPr>
          </w:p>
        </w:tc>
      </w:tr>
      <w:tr w14:paraId="06AF2F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5" w:hRule="atLeast"/>
          <w:jc w:val="center"/>
        </w:trPr>
        <w:tc>
          <w:tcPr>
            <w:tcW w:w="913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7C4D5A59">
            <w:pPr>
              <w:pStyle w:val="7"/>
              <w:jc w:val="both"/>
            </w:pPr>
          </w:p>
          <w:p w14:paraId="45B6244D">
            <w:pPr>
              <w:pStyle w:val="7"/>
            </w:pPr>
            <w:r>
              <w:rPr>
                <w:rFonts w:hint="eastAsia"/>
                <w:lang w:val="en-US" w:eastAsia="zh-CN"/>
              </w:rPr>
              <w:t>二零二五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  <w:lang w:val="en-US" w:eastAsia="zh-CN"/>
              </w:rPr>
              <w:t>六</w:t>
            </w:r>
            <w:r>
              <w:rPr>
                <w:rFonts w:hint="eastAsia"/>
              </w:rPr>
              <w:t>月</w:t>
            </w:r>
          </w:p>
        </w:tc>
      </w:tr>
    </w:tbl>
    <w:p w14:paraId="6D9824AC"/>
    <w:p w14:paraId="160A701C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1196E757">
      <w:pPr>
        <w:keepNext w:val="0"/>
        <w:keepLines w:val="0"/>
        <w:widowControl/>
        <w:suppressLineNumbers w:val="0"/>
        <w:jc w:val="left"/>
      </w:pPr>
      <w:r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一、 研究背景 </w:t>
      </w:r>
    </w:p>
    <w:p w14:paraId="2E4E58D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近年来，随着硬件技术成熟和成本降低，低空无人机行业快速发展，市场规模从 </w:t>
      </w:r>
      <w:r>
        <w:rPr>
          <w:rFonts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 xml:space="preserve">2015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年的 </w:t>
      </w:r>
      <w:r>
        <w:rPr>
          <w:rFonts w:hint="default"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 xml:space="preserve">30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亿元增长至 </w:t>
      </w:r>
      <w:r>
        <w:rPr>
          <w:rFonts w:hint="default"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 xml:space="preserve">2020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年的 </w:t>
      </w:r>
      <w:r>
        <w:rPr>
          <w:rFonts w:hint="default"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 xml:space="preserve">273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亿元，增长约 </w:t>
      </w:r>
      <w:r>
        <w:rPr>
          <w:rFonts w:hint="default"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 xml:space="preserve">9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倍。无人机视觉技术在能源、基建、农业、商业和公共安全等领域发挥重要作用，推动行业智能化升级。 </w:t>
      </w:r>
    </w:p>
    <w:p w14:paraId="7495D28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在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>能源领域，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无人机视觉可高效检测油管道泄漏、风力发电机叶片损坏及光伏板污损，替代高危人工作业，降低成本并提升效率。在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>基础建设方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面，无人机视觉助力高精度地理测绘和气象探测，自动分析地形、建筑物及气象数据，加速城市信息化进程。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>农业植保中，无人机凭借成本低、作业范围广等优势，结合视觉技术实现农情监测、障碍规避和精准喷洒，适用于各类农作物。商业应用上，无人机视觉服务于影视拍摄、体育赛事和个人娱乐，提供灵活、低成本的航拍方案，并实现智能稳像和目标跟踪。在公共安全领域，无人机视觉助力抢险救灾（如火源定位、灾情建模）、交通管理（车流监测）及反恐安防（可疑目标追踪），突破传统监测限制，提升应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急响应能力。 </w:t>
      </w:r>
    </w:p>
    <w:p w14:paraId="11C2F06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低空无人机视觉的广泛应用，不仅优化了各行业作业模式，更推动了社会管理的智能化和高效化发展。 </w:t>
      </w:r>
    </w:p>
    <w:p w14:paraId="0F85406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低空无人机飞行高度通常在 50~1000 米，有以下特点： </w:t>
      </w:r>
    </w:p>
    <w:p w14:paraId="3C846DB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b w:val="0"/>
          <w:bCs w:val="0"/>
        </w:rPr>
      </w:pPr>
      <w:r>
        <w:rPr>
          <w:rFonts w:hint="eastAsia" w:ascii="宋体" w:hAnsi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>1.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 xml:space="preserve">目标尺度小，分辨率受限：在 500 米距离下，典型无人机相机中仅占 15~30 像素。在 1000 米外，目标可能仅 5~10 像素，接近传统 CNN 的检测极限。由于姿态变化，俯视/侧视视角下目标呈现不同形状，如十字形、星形、矩形等。 </w:t>
      </w:r>
    </w:p>
    <w:p w14:paraId="3397593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b w:val="0"/>
          <w:bCs w:val="0"/>
        </w:rPr>
      </w:pPr>
      <w:r>
        <w:rPr>
          <w:rFonts w:hint="eastAsia" w:ascii="宋体" w:hAnsi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>2.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 xml:space="preserve">低空背景复杂，干扰多：动态背景干扰，如飞鸟、建筑物反射等。外界光照条件多变，对比度降低、阴影干扰等。 </w:t>
      </w:r>
    </w:p>
    <w:p w14:paraId="27D7B7A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b w:val="0"/>
          <w:bCs w:val="0"/>
        </w:rPr>
      </w:pPr>
      <w:r>
        <w:rPr>
          <w:rFonts w:hint="eastAsia" w:ascii="宋体" w:hAnsi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>3.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 xml:space="preserve">无人机高速特性：成像抖动、运动模糊等。 </w:t>
      </w:r>
    </w:p>
    <w:p w14:paraId="6AE44A6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both"/>
        <w:textAlignment w:val="auto"/>
        <w:rPr>
          <w:rFonts w:hint="eastAsia" w:ascii="宋体" w:hAnsi="宋体" w:eastAsia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>4.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 xml:space="preserve">传感器限制：由传感器类型不同造成数据质量差别较大。 </w:t>
      </w:r>
    </w:p>
    <w:p w14:paraId="318D88E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3649980" cy="203454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03E6">
      <w:pPr>
        <w:keepNext w:val="0"/>
        <w:keepLines w:val="0"/>
        <w:widowControl/>
        <w:suppressLineNumbers w:val="0"/>
        <w:jc w:val="left"/>
      </w:pPr>
      <w:r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二、 研究现状 </w:t>
      </w:r>
    </w:p>
    <w:p w14:paraId="09ABC63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目前主流的目标检测算法主要是基于深度学习模型，其可以分成两大类：</w:t>
      </w:r>
    </w:p>
    <w:p w14:paraId="4CD8867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（1）two-stage 检测算法，其将检测问题划分为两个阶段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,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首先产生候选区域（region proposals），然后对候选区域分类（一般还需要对位置精修），这类算法的典型代表是基于 region proposa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l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的 R-CNN 系算法，如 R-CNN，Fast R-CNN，Faster R-CNN 等；</w:t>
      </w:r>
    </w:p>
    <w:p w14:paraId="04FA469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（2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）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one-stage 检测算法，其不需要 region proposal 阶段，直接产生物体的类别概率和位置坐标值，比较典型的算法如 YOLO 和 SSD。 </w:t>
      </w:r>
    </w:p>
    <w:p w14:paraId="7822BB4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目标检测模型的主要性能指标是检测准确度和速度，对于准确度， 目标检测要考虑物体的定位准确性，而不单单是分类准确度。一般情 况下，</w:t>
      </w: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8"/>
          <w:szCs w:val="28"/>
          <w:lang w:val="en-US" w:eastAsia="zh-CN" w:bidi="ar"/>
        </w:rPr>
        <w:t>two-stage 算法在准确度上有优势，而 one-stage 算法在速度上有优势。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不过，随着研究的发展，两类算法都在两个方面做改进。 </w:t>
      </w:r>
    </w:p>
    <w:p w14:paraId="07B0B86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Google 在 2017 年开源了 TensorFlow Object Detection API，并对主流的 Faster R-CNN，R-FCN 及 SSD 三个算法在 MS COCO 数据集上的性能做了细致对比。Facebook 的 FAIR 也开源了基Caffe2 的目标检测平台 Detectron，其实现了最新的 Mask R-CNNRetinaNet 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 xml:space="preserve">等检测算法，并且给出了这些算法的 Baseline Results。可以说准确度（accuracy）和速度（speed）是一对矛盾体，如何更好地平衡它们一直是目标检测算法研究的一个重要方向。 </w:t>
      </w:r>
    </w:p>
    <w:p w14:paraId="495698E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8"/>
          <w:szCs w:val="28"/>
          <w:lang w:val="en-US" w:eastAsia="zh-CN" w:bidi="ar"/>
        </w:rPr>
        <w:t>特别的，YOLO 系列算法自推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出以来，经过不断更新迭代，已发展至 YOLOv11 版本</w:t>
      </w:r>
      <w:r>
        <w:rPr>
          <w:rFonts w:hint="eastAsia" w:ascii="宋体" w:hAnsi="宋体" w:eastAsia="宋体" w:cs="宋体"/>
          <w:color w:val="000000"/>
          <w:kern w:val="0"/>
          <w:sz w:val="13"/>
          <w:szCs w:val="13"/>
          <w:lang w:val="en-US" w:eastAsia="zh-CN" w:bidi="ar"/>
        </w:rPr>
        <w:t>[1]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。YOLOv11 在继承历代版本核心优势的基础上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,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创新性地引入了改良的锚点生成机制和多尺度预测技术，对网络结构进行了深度优化，显著提升了目标检测的性能和效率，受到众多研究学者的广泛关注。</w:t>
      </w:r>
    </w:p>
    <w:p w14:paraId="7646D95B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val="en-US" w:eastAsia="zh-CN" w:bidi="ar"/>
        </w:rPr>
        <w:t>三、数据集介绍</w:t>
      </w:r>
    </w:p>
    <w:p w14:paraId="11BA348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为了在真实复杂环境下评估视觉算法在无人机平台上的性能，本文选用了 VisDrone 数据集作为主要实验基准。VisDrone（Visual Object Detection in Drone Imagery）是一个由中国合肥工业大学 AISKYEYE 团队构建的大规模无人机视觉数据集，旨在推动低空视角下目标检测与跟踪算法的研究与应用。</w:t>
      </w:r>
    </w:p>
    <w:p w14:paraId="6476C49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该数据集涵盖了多个城市（如天津、杭州等）的多样化户外场景，包括城市道路、住宅区、公园、广场等，具有极高的现实代表性。VisDrone 数据集不仅提供了静态图像和视频序列，还包含了详细的标注信息，为多种计算机视觉任务提供了统一的评估平台。</w:t>
      </w:r>
    </w:p>
    <w:p w14:paraId="6E4C5D7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VisDrone 数据集主要包含以下几类任务与标注内容：</w:t>
      </w:r>
    </w:p>
    <w:p w14:paraId="5B18B58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目标检测（Object Detection）：数据集中包含 10,209 张带有目标标注的静态图像，每张图像均附带边界框（bounding boxes）、类别标签和可见度信息。</w:t>
      </w:r>
    </w:p>
    <w:p w14:paraId="2E63D1F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单目标跟踪（Single Object Tracking）：数据集提供部分序列中的初始标注框，目标是持续跟踪该目标在视频中的位置。</w:t>
      </w:r>
    </w:p>
    <w:p w14:paraId="743F6E1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多目标跟踪（Multi-Object Tracking）：视频序列中每个目标具有唯一的 ID 标签，支持基于检测的多目标跟踪任务研究。</w:t>
      </w:r>
    </w:p>
    <w:p w14:paraId="41DF9BF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实例分割与人群密度估计（Instance Segmentation &amp; Density Estimation）：扩展任务包括目标分割与人群计数，用于提升算法在复杂人群场景中的适应性。</w:t>
      </w:r>
    </w:p>
    <w:p w14:paraId="379DFE6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VisDrone 数据集中目标类别共计 10 类，包括：行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人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（pedestrian）、骑行者（people）、轿车（car）、面包车（van）、卡车（truck）、公交车（bus）、三轮车（tricycle）、摩托车（motor）、自行车（bicycle）和有遮挡三轮车（awning-tricycle）。每个标注框还包含 occlusion（遮挡程度）与 truncation（截断）信息，有助于算法更精确地建模遮挡问题。</w:t>
      </w:r>
    </w:p>
    <w:p w14:paraId="700CD64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VisDrone 数据集的显著特点包括：</w:t>
      </w:r>
    </w:p>
    <w:p w14:paraId="21D9428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多尺度与多角度视角：由于无人机拍摄的高度和角度不断变化，目标在图像中呈现出大尺度变化和复杂的几何形状。</w:t>
      </w:r>
    </w:p>
    <w:p w14:paraId="4AB29B7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遮挡严重与密集分布：城市环境下目标密集、人群拥挤，目标之间互相遮挡频繁，极大增加了检测和跟踪的难度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。</w:t>
      </w:r>
    </w:p>
    <w:p w14:paraId="0A1458C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背景复杂与光照多变：不同时间段与天气条件下采集的视频帧存在明显的光照变化、背景噪声较大，对模型泛化能力提出挑战。</w:t>
      </w:r>
    </w:p>
    <w:p w14:paraId="2732094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动态视角导致的图像抖动：由于无人机在飞行中拍摄，画面存在频繁移动、抖动等现象，要求算法具有较强的鲁棒性。</w:t>
      </w:r>
    </w:p>
    <w:p w14:paraId="2EBB6E8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0" distR="0">
            <wp:extent cx="4319905" cy="2712720"/>
            <wp:effectExtent l="0" t="0" r="8255" b="0"/>
            <wp:docPr id="167743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3063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89A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目前 VisDrone 已被广泛应用于目标检测、跟踪、分割等多个领域的重要竞赛和研究中（如 ICCV、CVPR Workshop: VisDrone Challenge），并成为评估无人机视觉系统性能的权威数据集之一。</w:t>
      </w:r>
    </w:p>
    <w:p w14:paraId="1B4D66E8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val="en-US" w:eastAsia="zh-CN" w:bidi="ar"/>
        </w:rPr>
        <w:t>四、算法部分</w:t>
      </w:r>
    </w:p>
    <w:p w14:paraId="6B0BCF93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 xml:space="preserve">4.1 </w:t>
      </w:r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>HIC-YOLOv5算法</w:t>
      </w:r>
    </w:p>
    <w:p w14:paraId="2E0F76F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小目标检测在无人机图像中具有挑战性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，例如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物体远、小、模糊、遮挡多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等，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YOLOv5 尽管轻量，但在 VisDrone 这类小目标任务上效果欠佳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，所以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在不显著增加计算量的前提下，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HIC-YOLOv5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提高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了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YOLOv5对小目标的检测能力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。</w:t>
      </w:r>
    </w:p>
    <w:p w14:paraId="42C4699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default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4594860" cy="3342640"/>
            <wp:effectExtent l="0" t="0" r="7620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84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HIC-YOLOv5 是在 YOLOv5 基础上的改进模型，针对小目标检测性能不足的问题，引入了三大模块以提升检测精度：首先，增加小目标检测头（SODH），以增强对低层次特征中小目标信息的提取能力；其次，引入 Involution 通道特征增强模块，有效提升网络对局部细粒度特征的建模能力；最后，融合 CBAM 注意力机制，增强模型对关键目标区域的关注程度，从而在保持较低计算开销的同时，显著提升对小目标的检测性能。</w:t>
      </w:r>
    </w:p>
    <w:p w14:paraId="4B48F1D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4585970" cy="2272030"/>
            <wp:effectExtent l="0" t="0" r="1270" b="1397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53A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同样使用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采用 VisDrone-2019-DET 数据集对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HIC-YOLOv5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模型进行评估，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得到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结果表明改进效果显著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的结论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：mAP@0.5 从原始 YOLOv5 的 27.57 提升至 36.95，提升了 9.38%；mAP@[.5:.95] 从 14.43 提升至 20.85，提升了 6.42%。在引入中心裁剪策略和轻量级模块的辅助下，HIC-YOLOv5 在保持检测速度优势的同时，有效提升了小目标检测的精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度，实现了精度与效率的良好平衡。</w:t>
      </w:r>
    </w:p>
    <w:p w14:paraId="4689B02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4.2 YOLOv5算法</w:t>
      </w:r>
    </w:p>
    <w:p w14:paraId="2200837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>新版本的yolov5中已经集成了训练visdrone数据集的配置文件，其中附带了数据集的处理方式，主要是labels的生成，正确执行代码后，会在’VisDrone2019-DET-train’</w:t>
      </w: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，</w:t>
      </w:r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>‘VisDrone2019-DET-val’, 'VisDrone2019-DET-test-dev三个文件夹内新生成labels文件夹，用以存放将VisDrone数据集处理成YoloV5格式后的数据标签。</w:t>
      </w:r>
    </w:p>
    <w:p w14:paraId="7D19F80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493895" cy="2246630"/>
            <wp:effectExtent l="0" t="0" r="1905" b="8890"/>
            <wp:docPr id="25" name="图片 24" descr="图形用户界面, 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 descr="图形用户界面, 图表, 折线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734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2116455" cy="2116455"/>
            <wp:effectExtent l="0" t="0" r="1905" b="1905"/>
            <wp:docPr id="22" name="图片 21" descr="许多乐高玩具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许多乐高玩具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3270" cy="1993900"/>
            <wp:effectExtent l="0" t="0" r="8890" b="254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9E3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4.3 TPH-YOLOv5</w:t>
      </w:r>
    </w:p>
    <w:p w14:paraId="16B28FE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TPH-YOLOv5 是基于 YOLOv5 框架改进的一种专为复杂场景下小目标检测设计的目标检测模型。该模型在结构上进行了多方面的增强，旨在提升对微小物体及多尺度目标的检测能力。首先，TPH-YOLOv5 在原有三种预测头的基础上，新增了一个专门用于微小物体检测的预测头，与其他三个检测头协同工作，形成四头结构，有效缓解了由目标尺度剧烈变化带来的检测困难。其次，TPH-YOLOv5 在部分主干网络中用 Transformer 编码器块替换了原始的卷积块和 CSP 瓶颈结构。与传统瓶颈结构相比，Transformer 编码器具备更强的全局建模能力和上下文信息捕获能力。每个编码器模块由两个子层组成：第一子层为多头自注意力机制层，用于捕获特征之间的长距离依赖关系；第二子层为多层感知机（MLP），用于特征变换与增强；两个子层之间引入残差连接，从而提升信息传递效率和梯度流动性。该设计不仅增强了网络对局部与全局信息的综合建模能力，还提高了模型对复杂场景中细粒度特征的感知能力。</w:t>
      </w:r>
    </w:p>
    <w:p w14:paraId="0D80740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此外，为进一步优化特征表达，TPH-YOLOv5 引入了卷积块注意力模块（CBAM）。CBAM 是一种轻量级的注意力机制模块，能够以端到端方式无缝集成至现有的 CNN 架构中。它分别沿通道和空间两个维度顺序推理注意力权重，并与原始特征图相乘，实现对关键区域和关键信息的自适应特征增强。该机制在保持较低计算开销的同时，显著提高了模型对目标区域的聚焦能力。</w:t>
      </w:r>
    </w:p>
    <w:p w14:paraId="3FD1BE3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在训练策略方面，TPH-YOLOv5 还采用了模型集成和自训练分类器等技术手段，并结合更复杂的训练方式以提升模型的泛化能力和鲁棒性。综合以上改进，TPH-YOLOv5 在小目标检测任务中表现出更高的准确性和稳定性，尤其适用于如 VisDrone 等具有复杂背景与尺度变化显著的实际场景。</w:t>
      </w:r>
    </w:p>
    <w:p w14:paraId="5C27E07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2608580" cy="2197100"/>
            <wp:effectExtent l="0" t="0" r="1270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2197100"/>
                    </a:xfrm>
                    <a:prstGeom prst="heptagon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5400" cy="1993900"/>
            <wp:effectExtent l="0" t="0" r="10160" b="254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6515" cy="2435225"/>
            <wp:effectExtent l="0" t="0" r="14605" b="3175"/>
            <wp:docPr id="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A0D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12A4853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模型在训练集和验证集上的表现较为一致，损失都在逐渐下降，而精确率、召回率和平均精度都在逐渐上升，这表明模型在持续学习和优化。</w:t>
      </w:r>
    </w:p>
    <w:p w14:paraId="28FC521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cs="宋体"/>
          <w:color w:val="000000"/>
          <w:kern w:val="0"/>
          <w:sz w:val="28"/>
          <w:szCs w:val="28"/>
          <w:lang w:val="en-US" w:eastAsia="zh-CN" w:bidi="ar"/>
        </w:rPr>
        <w:t>4.3 YOLOv8</w:t>
      </w:r>
    </w:p>
    <w:p w14:paraId="49CF510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>YOLOv8 是 YOLO 系列中最新一代的目标检测框架，继承了前几代模型的高效性与实用性，同时在结构设计与检测方式上进行了多项关键改进。整体架构依然遵循经典的三阶段设计，分别由 Backbone（主干网络）、Neck（特征融合模块） 和 Head（预测头） 组成。其中，主干网络用于提取图像的基础特征，Neck 结构负责多尺度特征的融合，而预测头则用于输出目标的位置和类别信息。</w:t>
      </w:r>
      <w:r>
        <w:drawing>
          <wp:inline distT="0" distB="0" distL="114300" distR="114300">
            <wp:extent cx="5190490" cy="4513580"/>
            <wp:effectExtent l="0" t="0" r="6350" b="12700"/>
            <wp:docPr id="1026" name="Picture 2" descr="YOLOv8原理深度解读,超级详细【未完待续】-CSDN博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YOLOv8原理深度解读,超级详细【未完待续】-CSDN博客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451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A27FA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>在主干网络部分，YOLOv8 用全新的 C2f（Cross Stage Partial Fusion）模块 替代了以往 YOLOv5 和 YOLOv7 中广泛使用的 CSP（Cross Stage Partial）模块。C2f 模块在结构上更加简洁，同时具备更强的特征表达能力，尤其在处理小目标和细粒度特征方面表现出更好的效果。这一设计简化了网络复杂度的同时，提升了特征建模效率。</w:t>
      </w:r>
    </w:p>
    <w:p w14:paraId="0935111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>在检测头部分，YOLOv8 摒弃了传统的 Anchor-Based（基于锚框）机制，采用了更先进的 Anchor-Free（无锚框）检测头。该检测头直接回归目标中心点及其宽高尺寸，无需预设锚框数量和尺寸，从而在处理密集分布的小目标时更加灵活且鲁棒。同时，Anchor-Free 机制简化了正负样本的匹配过程，进一步提高了模型的训练效率和小目标检测的准确率。</w:t>
      </w:r>
    </w:p>
    <w:p w14:paraId="6FC971B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>综上，YOLOv8 在继承 YOLO 系列高效率特性的基础上，通过结构优化与检测策略革新，显著提升了模型在小目标、细粒度任务中的表现，展现出良好的通用性与应用前景。</w:t>
      </w:r>
    </w:p>
    <w:p w14:paraId="10F9A4E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</w:p>
    <w:p w14:paraId="3AC5AD9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140960" cy="2570480"/>
            <wp:effectExtent l="0" t="0" r="10160" b="50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43B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2528570" cy="1449070"/>
            <wp:effectExtent l="0" t="0" r="1270" b="1397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144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6980" cy="1437005"/>
            <wp:effectExtent l="0" t="0" r="7620" b="10795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43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E25DF">
      <w:pPr>
        <w:keepNext w:val="0"/>
        <w:keepLines w:val="0"/>
        <w:widowControl/>
        <w:suppressLineNumbers w:val="0"/>
        <w:jc w:val="left"/>
        <w:rPr>
          <w:rFonts w:hint="default" w:ascii="黑体" w:hAnsi="宋体" w:eastAsia="黑体" w:cs="黑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val="en-US" w:eastAsia="zh-CN" w:bidi="ar"/>
        </w:rPr>
        <w:t>五、总结与展望</w:t>
      </w:r>
    </w:p>
    <w:p w14:paraId="04B8BD5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 xml:space="preserve">本文围绕低空无人机场景下的小目标检测问题，选取了 </w:t>
      </w:r>
      <w:bookmarkStart w:id="0" w:name="_GoBack"/>
      <w:bookmarkEnd w:id="0"/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>VisDrone-2019-DET 数据集作为研究平台，系统分析并对比了四种基于 YOLO 框架的目标检测算法：YOLOv5、HIC-YOLOv5、TPH-YOLOv5 和 YOLOv8。通过梳理各模型的结构特点及其在小目标检测中的应对策略，结合实际实验结果，验证了它们在复杂背景、多尺度目标、遮挡密集等无人机应用典型场景下的表现差异。</w:t>
      </w:r>
    </w:p>
    <w:p w14:paraId="175863E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>实验结果表明，YOLOv5 作为基准模型，具备良好的检测速度和基础精度；HIC-YOLOv5 在保持轻量化的前提下，通过引入小目标检测头等机制，在小目标检测精度上有明显提升；TPH-YOLOv5 则进一步引入多预测头和 Transformer 编码器，增强模型对复杂场景和细粒度目标的建模能力；YOLOv8 采用了更简洁高效的结构（如 C2f 模块）及 Anchor-Free 检测机制，在通用性和精度方面表现出良好平衡。</w:t>
      </w:r>
    </w:p>
    <w:p w14:paraId="671F861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>总体来看，各模型均为官方改进版本，侧重点不同，适用于不同实际需求场景。本文的工作为低空视觉任务中算法选型提供了参考，同时也为后续的无人机视觉系统部署提供了实验基础。</w:t>
      </w:r>
    </w:p>
    <w:p w14:paraId="786FE57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cs="宋体"/>
          <w:color w:val="000000"/>
          <w:kern w:val="0"/>
          <w:sz w:val="28"/>
          <w:szCs w:val="28"/>
          <w:lang w:val="en-US" w:eastAsia="zh-CN" w:bidi="ar"/>
        </w:rPr>
        <w:t>未来的研究可以在以下几个方向进行拓展：进一步结合实际任务需求，探索检测精度、模型体积与推理速度之间的更优平衡策略；考虑模型在动态环境、自适应光照或低分辨率输入下的鲁棒性表现；以及尝试将小目标检测与跟踪、分割等任务进行多任务联合建模，以提升系统整体智能感知能力。</w:t>
      </w:r>
    </w:p>
    <w:p w14:paraId="6D633E1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69662CE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B9040ED"/>
    <w:rsid w:val="7D0F6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22"/>
    <w:rPr>
      <w:b/>
    </w:rPr>
  </w:style>
  <w:style w:type="paragraph" w:customStyle="1" w:styleId="6">
    <w:name w:val="分类号"/>
    <w:basedOn w:val="1"/>
    <w:qFormat/>
    <w:uiPriority w:val="0"/>
    <w:rPr>
      <w:rFonts w:ascii="仿宋_GB2312" w:eastAsia="仿宋_GB2312"/>
      <w:sz w:val="28"/>
      <w:szCs w:val="28"/>
    </w:rPr>
  </w:style>
  <w:style w:type="paragraph" w:customStyle="1" w:styleId="7">
    <w:name w:val="封面日期"/>
    <w:basedOn w:val="1"/>
    <w:qFormat/>
    <w:uiPriority w:val="0"/>
    <w:pPr>
      <w:jc w:val="center"/>
    </w:pPr>
    <w:rPr>
      <w:rFonts w:ascii="黑体" w:eastAsia="黑体"/>
      <w:sz w:val="32"/>
      <w:szCs w:val="32"/>
    </w:rPr>
  </w:style>
  <w:style w:type="paragraph" w:customStyle="1" w:styleId="8">
    <w:name w:val="论文标题"/>
    <w:basedOn w:val="1"/>
    <w:qFormat/>
    <w:uiPriority w:val="0"/>
    <w:pPr>
      <w:jc w:val="center"/>
    </w:pPr>
    <w:rPr>
      <w:rFonts w:eastAsia="楷体_GB2312"/>
      <w:b/>
      <w:kern w:val="36"/>
      <w:sz w:val="52"/>
      <w:szCs w:val="52"/>
    </w:rPr>
  </w:style>
  <w:style w:type="paragraph" w:customStyle="1" w:styleId="9">
    <w:name w:val="硕士学位论文"/>
    <w:basedOn w:val="1"/>
    <w:qFormat/>
    <w:uiPriority w:val="0"/>
    <w:pPr>
      <w:spacing w:before="240"/>
      <w:jc w:val="center"/>
    </w:pPr>
    <w:rPr>
      <w:sz w:val="44"/>
      <w:szCs w:val="44"/>
    </w:rPr>
  </w:style>
  <w:style w:type="paragraph" w:customStyle="1" w:styleId="10">
    <w:name w:val="研究生姓名"/>
    <w:basedOn w:val="1"/>
    <w:qFormat/>
    <w:uiPriority w:val="0"/>
    <w:pPr>
      <w:ind w:firstLine="700" w:firstLineChars="700"/>
    </w:pPr>
    <w:rPr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lengthwise1"/>
      <sectRole val="1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3805</Words>
  <Characters>4851</Characters>
  <Lines>0</Lines>
  <Paragraphs>0</Paragraphs>
  <TotalTime>4</TotalTime>
  <ScaleCrop>false</ScaleCrop>
  <LinksUpToDate>false</LinksUpToDate>
  <CharactersWithSpaces>5056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2025-06-29T16:07:00Z</dcterms:created>
  <dc:creator>HUAWEI</dc:creator>
  <cp:lastModifiedBy>未眠</cp:lastModifiedBy>
  <dcterms:modified xsi:type="dcterms:W3CDTF">2025-06-30T03:02:04Z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eyJoZGlkIjoiYmNmZGI1Mjc1NzYyOTQ3ZTRjNTAxOTA5YmZkNDkyNGQiLCJ1c2VySWQiOiIxMzk4OTQ3NTYyIn0=</vt:lpwstr>
  </property>
  <property fmtid="{D5CDD505-2E9C-101B-9397-08002B2CF9AE}" pid="4" name="ICV">
    <vt:lpwstr>C5FC7485DAF849BD9A603002BA5A67E7_12</vt:lpwstr>
  </property>
</Properties>
</file>